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2343" w14:textId="2656F5C8" w:rsidR="00AC242E" w:rsidRPr="00AC242E" w:rsidRDefault="00AC242E" w:rsidP="00AC242E">
      <w:pPr>
        <w:pStyle w:val="Heading1"/>
        <w:rPr>
          <w:rFonts w:eastAsia="Times New Roman"/>
          <w:lang w:eastAsia="en-GB"/>
        </w:rPr>
      </w:pPr>
      <w:r w:rsidRPr="00AC242E">
        <w:rPr>
          <w:rFonts w:eastAsia="Times New Roman"/>
          <w:lang w:eastAsia="en-GB"/>
        </w:rPr>
        <w:t>Australian Curriculum Mapping</w:t>
      </w:r>
      <w:r>
        <w:rPr>
          <w:rFonts w:eastAsia="Times New Roman"/>
          <w:lang w:eastAsia="en-GB"/>
        </w:rPr>
        <w:t xml:space="preserve">: </w:t>
      </w:r>
      <w:r w:rsidRPr="00AC242E">
        <w:rPr>
          <w:rFonts w:eastAsia="Times New Roman"/>
          <w:lang w:eastAsia="en-GB"/>
        </w:rPr>
        <w:t xml:space="preserve">2040 – </w:t>
      </w:r>
      <w:r w:rsidR="000047A0">
        <w:rPr>
          <w:rFonts w:eastAsia="Times New Roman"/>
          <w:lang w:eastAsia="en-GB"/>
        </w:rPr>
        <w:t>Food Security</w:t>
      </w:r>
      <w:r w:rsidRPr="00AC242E">
        <w:rPr>
          <w:rFonts w:eastAsia="Times New Roman"/>
          <w:lang w:eastAsia="en-GB"/>
        </w:rPr>
        <w:t xml:space="preserve"> – </w:t>
      </w:r>
      <w:r w:rsidR="000047A0">
        <w:rPr>
          <w:rFonts w:eastAsia="Times New Roman"/>
          <w:lang w:eastAsia="en-GB"/>
        </w:rPr>
        <w:t xml:space="preserve">Geography – </w:t>
      </w:r>
      <w:r w:rsidRPr="00AC242E">
        <w:rPr>
          <w:rFonts w:eastAsia="Times New Roman"/>
          <w:lang w:eastAsia="en-GB"/>
        </w:rPr>
        <w:t xml:space="preserve">Years </w:t>
      </w:r>
      <w:r w:rsidR="0009108A">
        <w:rPr>
          <w:rFonts w:eastAsia="Times New Roman"/>
          <w:lang w:eastAsia="en-GB"/>
        </w:rPr>
        <w:t>9</w:t>
      </w:r>
      <w:r w:rsidRPr="00AC242E">
        <w:rPr>
          <w:rFonts w:eastAsia="Times New Roman"/>
          <w:lang w:eastAsia="en-GB"/>
        </w:rPr>
        <w:t xml:space="preserve"> &amp; </w:t>
      </w:r>
      <w:r w:rsidR="0009108A">
        <w:rPr>
          <w:rFonts w:eastAsia="Times New Roman"/>
          <w:lang w:eastAsia="en-GB"/>
        </w:rPr>
        <w:t>10</w:t>
      </w:r>
      <w:bookmarkStart w:id="0" w:name="_GoBack"/>
      <w:bookmarkEnd w:id="0"/>
    </w:p>
    <w:p w14:paraId="70217F3A" w14:textId="77777777" w:rsidR="00471689" w:rsidRPr="00471689" w:rsidRDefault="00471689" w:rsidP="00471689">
      <w:pPr>
        <w:rPr>
          <w:lang w:eastAsia="en-GB"/>
        </w:rPr>
      </w:pPr>
    </w:p>
    <w:p w14:paraId="2FC417BB" w14:textId="188B17BB" w:rsidR="00AC242E" w:rsidRDefault="00AC242E" w:rsidP="00AC242E">
      <w:pPr>
        <w:rPr>
          <w:lang w:eastAsia="en-GB"/>
        </w:rPr>
      </w:pPr>
    </w:p>
    <w:p w14:paraId="2257FE60" w14:textId="77777777" w:rsidR="007E04C5" w:rsidRPr="007E04C5" w:rsidRDefault="007E04C5" w:rsidP="007E04C5">
      <w:pPr>
        <w:pStyle w:val="Heading2"/>
      </w:pPr>
      <w:r w:rsidRPr="007E04C5">
        <w:rPr>
          <w:rStyle w:val="Strong"/>
          <w:b w:val="0"/>
          <w:bCs w:val="0"/>
        </w:rPr>
        <w:t>Year 9 Geography</w:t>
      </w:r>
    </w:p>
    <w:p w14:paraId="24C671EF" w14:textId="77777777" w:rsidR="007E04C5" w:rsidRPr="007E04C5" w:rsidRDefault="007E04C5" w:rsidP="007E04C5">
      <w:pPr>
        <w:numPr>
          <w:ilvl w:val="0"/>
          <w:numId w:val="21"/>
        </w:numPr>
        <w:shd w:val="clear" w:color="auto" w:fill="FFFFFF"/>
        <w:spacing w:before="100" w:beforeAutospacing="1" w:after="100" w:afterAutospacing="1" w:line="240" w:lineRule="atLeast"/>
        <w:ind w:left="375"/>
        <w:rPr>
          <w:rFonts w:cstheme="minorHAnsi"/>
          <w:color w:val="333333"/>
        </w:rPr>
      </w:pPr>
      <w:r w:rsidRPr="007E04C5">
        <w:rPr>
          <w:rFonts w:cstheme="minorHAnsi"/>
          <w:color w:val="333333"/>
        </w:rPr>
        <w:t>Challenges to food production, including land and water degradation, shortage of fresh water, competing land uses, and climate change, for Australia and other areas of the world </w:t>
      </w:r>
      <w:hyperlink r:id="rId7" w:anchor="dimension-content" w:tgtFrame="_blank" w:history="1">
        <w:r w:rsidRPr="007E04C5">
          <w:rPr>
            <w:rStyle w:val="Hyperlink"/>
            <w:rFonts w:cstheme="minorHAnsi"/>
            <w:color w:val="23A8E5"/>
            <w:u w:val="none"/>
          </w:rPr>
          <w:t>(ACHGK063)</w:t>
        </w:r>
      </w:hyperlink>
    </w:p>
    <w:p w14:paraId="6C0D951E" w14:textId="77777777" w:rsidR="007E04C5" w:rsidRPr="007E04C5" w:rsidRDefault="007E04C5" w:rsidP="007E04C5">
      <w:pPr>
        <w:numPr>
          <w:ilvl w:val="0"/>
          <w:numId w:val="21"/>
        </w:numPr>
        <w:shd w:val="clear" w:color="auto" w:fill="FFFFFF"/>
        <w:spacing w:before="100" w:beforeAutospacing="1" w:after="100" w:afterAutospacing="1" w:line="240" w:lineRule="atLeast"/>
        <w:ind w:left="375"/>
        <w:rPr>
          <w:rFonts w:cstheme="minorHAnsi"/>
          <w:color w:val="333333"/>
        </w:rPr>
      </w:pPr>
      <w:r w:rsidRPr="007E04C5">
        <w:rPr>
          <w:rFonts w:cstheme="minorHAnsi"/>
          <w:color w:val="333333"/>
        </w:rPr>
        <w:t>The capacity of the world’s environments to sustainably feed the projected future global population </w:t>
      </w:r>
      <w:hyperlink r:id="rId8" w:anchor="dimension-content" w:tgtFrame="_blank" w:history="1">
        <w:r w:rsidRPr="007E04C5">
          <w:rPr>
            <w:rStyle w:val="Hyperlink"/>
            <w:rFonts w:cstheme="minorHAnsi"/>
            <w:color w:val="23A8E5"/>
            <w:u w:val="none"/>
          </w:rPr>
          <w:t>(ACHGK064)</w:t>
        </w:r>
      </w:hyperlink>
    </w:p>
    <w:p w14:paraId="601EA20C" w14:textId="791D9454" w:rsidR="007E04C5" w:rsidRDefault="007E04C5" w:rsidP="007E04C5">
      <w:pPr>
        <w:numPr>
          <w:ilvl w:val="0"/>
          <w:numId w:val="21"/>
        </w:numPr>
        <w:shd w:val="clear" w:color="auto" w:fill="FFFFFF"/>
        <w:spacing w:before="100" w:beforeAutospacing="1" w:after="100" w:afterAutospacing="1" w:line="240" w:lineRule="atLeast"/>
        <w:ind w:left="375"/>
        <w:rPr>
          <w:rFonts w:cstheme="minorHAnsi"/>
          <w:color w:val="333333"/>
        </w:rPr>
      </w:pPr>
      <w:r w:rsidRPr="007E04C5">
        <w:rPr>
          <w:rFonts w:cstheme="minorHAnsi"/>
          <w:color w:val="333333"/>
        </w:rPr>
        <w:t>Present findings, arguments and explanations in a range of appropriate communication forms, selected for their effectiveness and to suit audience and purpose; using relevant geographical terminology, and digital technologies as appropriate </w:t>
      </w:r>
      <w:hyperlink r:id="rId9" w:anchor="dimension-content" w:tgtFrame="_blank" w:history="1">
        <w:r w:rsidRPr="007E04C5">
          <w:rPr>
            <w:rStyle w:val="Hyperlink"/>
            <w:rFonts w:cstheme="minorHAnsi"/>
            <w:color w:val="23A8E5"/>
            <w:u w:val="none"/>
          </w:rPr>
          <w:t>(ACHGS070)</w:t>
        </w:r>
      </w:hyperlink>
    </w:p>
    <w:p w14:paraId="7ED049DB" w14:textId="77777777" w:rsidR="007E04C5" w:rsidRPr="007E04C5" w:rsidRDefault="007E04C5" w:rsidP="007E04C5">
      <w:pPr>
        <w:shd w:val="clear" w:color="auto" w:fill="FFFFFF"/>
        <w:spacing w:before="100" w:beforeAutospacing="1" w:after="100" w:afterAutospacing="1" w:line="240" w:lineRule="atLeast"/>
        <w:rPr>
          <w:rFonts w:cstheme="minorHAnsi"/>
          <w:color w:val="333333"/>
        </w:rPr>
      </w:pPr>
    </w:p>
    <w:p w14:paraId="123B93D5" w14:textId="77777777" w:rsidR="007E04C5" w:rsidRPr="007E04C5" w:rsidRDefault="007E04C5" w:rsidP="007E04C5">
      <w:pPr>
        <w:pStyle w:val="Heading2"/>
      </w:pPr>
      <w:r w:rsidRPr="007E04C5">
        <w:rPr>
          <w:rStyle w:val="Strong"/>
          <w:b w:val="0"/>
          <w:bCs w:val="0"/>
        </w:rPr>
        <w:t>Year 10 Geography </w:t>
      </w:r>
    </w:p>
    <w:p w14:paraId="12A31452" w14:textId="77777777" w:rsidR="007E04C5" w:rsidRPr="007E04C5" w:rsidRDefault="007E04C5" w:rsidP="007E04C5">
      <w:pPr>
        <w:numPr>
          <w:ilvl w:val="0"/>
          <w:numId w:val="22"/>
        </w:numPr>
        <w:shd w:val="clear" w:color="auto" w:fill="FFFFFF"/>
        <w:spacing w:before="100" w:beforeAutospacing="1" w:after="100" w:afterAutospacing="1" w:line="240" w:lineRule="atLeast"/>
        <w:ind w:left="375"/>
        <w:rPr>
          <w:rFonts w:cstheme="minorHAnsi"/>
          <w:color w:val="333333"/>
        </w:rPr>
      </w:pPr>
      <w:r w:rsidRPr="007E04C5">
        <w:rPr>
          <w:rFonts w:cstheme="minorHAnsi"/>
          <w:color w:val="333333"/>
        </w:rPr>
        <w:t>Human-induced environmental changes that challenge sustainability </w:t>
      </w:r>
      <w:hyperlink r:id="rId10" w:anchor="dimension-content" w:tgtFrame="_blank" w:history="1">
        <w:r w:rsidRPr="007E04C5">
          <w:rPr>
            <w:rStyle w:val="Hyperlink"/>
            <w:rFonts w:cstheme="minorHAnsi"/>
            <w:color w:val="23A8E5"/>
            <w:u w:val="none"/>
          </w:rPr>
          <w:t>(ACHGK070)</w:t>
        </w:r>
      </w:hyperlink>
    </w:p>
    <w:p w14:paraId="154F3B46" w14:textId="24172A49" w:rsidR="007E04C5" w:rsidRDefault="007E04C5" w:rsidP="007E04C5">
      <w:pPr>
        <w:numPr>
          <w:ilvl w:val="0"/>
          <w:numId w:val="22"/>
        </w:numPr>
        <w:shd w:val="clear" w:color="auto" w:fill="FFFFFF"/>
        <w:spacing w:before="100" w:beforeAutospacing="1" w:after="100" w:afterAutospacing="1" w:line="240" w:lineRule="atLeast"/>
        <w:ind w:left="375"/>
        <w:rPr>
          <w:rFonts w:cstheme="minorHAnsi"/>
          <w:color w:val="333333"/>
        </w:rPr>
      </w:pPr>
      <w:r w:rsidRPr="007E04C5">
        <w:rPr>
          <w:rFonts w:cstheme="minorHAnsi"/>
          <w:color w:val="333333"/>
        </w:rPr>
        <w:t>Present findings, arguments and explanations in a range of appropriate communication forms, selected for their effectiveness and to suit audience and purpose; using relevant geographical terminology, and digital technologies as appropriate </w:t>
      </w:r>
      <w:hyperlink r:id="rId11" w:anchor="dimension-content" w:tgtFrame="_blank" w:history="1">
        <w:r w:rsidRPr="007E04C5">
          <w:rPr>
            <w:rStyle w:val="Hyperlink"/>
            <w:rFonts w:cstheme="minorHAnsi"/>
            <w:color w:val="23A8E5"/>
            <w:u w:val="none"/>
          </w:rPr>
          <w:t>(ACHGS079)</w:t>
        </w:r>
      </w:hyperlink>
    </w:p>
    <w:p w14:paraId="27BDF881" w14:textId="77777777" w:rsidR="007E04C5" w:rsidRPr="007E04C5" w:rsidRDefault="007E04C5" w:rsidP="007E04C5">
      <w:pPr>
        <w:shd w:val="clear" w:color="auto" w:fill="FFFFFF"/>
        <w:spacing w:before="100" w:beforeAutospacing="1" w:after="100" w:afterAutospacing="1" w:line="240" w:lineRule="atLeast"/>
        <w:rPr>
          <w:rFonts w:cstheme="minorHAnsi"/>
          <w:color w:val="333333"/>
        </w:rPr>
      </w:pPr>
    </w:p>
    <w:p w14:paraId="1CE13A0B" w14:textId="4AF49579" w:rsidR="007E04C5" w:rsidRPr="007E04C5" w:rsidRDefault="007E04C5" w:rsidP="007E04C5">
      <w:pPr>
        <w:pStyle w:val="Heading2"/>
      </w:pPr>
      <w:r w:rsidRPr="007E04C5">
        <w:rPr>
          <w:rStyle w:val="Strong"/>
          <w:b w:val="0"/>
          <w:bCs w:val="0"/>
        </w:rPr>
        <w:t>Relevant parts of Year 9 Geography achievement standards</w:t>
      </w:r>
    </w:p>
    <w:p w14:paraId="0187A5B3" w14:textId="2C6053AA" w:rsidR="007E04C5" w:rsidRPr="007E04C5" w:rsidRDefault="007E04C5" w:rsidP="007E04C5">
      <w:pPr>
        <w:pStyle w:val="NormalWeb"/>
        <w:numPr>
          <w:ilvl w:val="0"/>
          <w:numId w:val="22"/>
        </w:numPr>
        <w:shd w:val="clear" w:color="auto" w:fill="FFFFFF"/>
        <w:spacing w:before="0" w:beforeAutospacing="0" w:after="135" w:afterAutospacing="0"/>
        <w:rPr>
          <w:rFonts w:asciiTheme="minorHAnsi" w:hAnsiTheme="minorHAnsi" w:cstheme="minorHAnsi"/>
          <w:color w:val="333333"/>
        </w:rPr>
      </w:pPr>
      <w:r w:rsidRPr="007E04C5">
        <w:rPr>
          <w:rFonts w:asciiTheme="minorHAnsi" w:hAnsiTheme="minorHAnsi" w:cstheme="minorHAnsi"/>
          <w:color w:val="333333"/>
        </w:rPr>
        <w:t>Students predict changes in the characteristics of places over time and identify the possible implications of change for the future. They present findings, arguments and explanations using relevant geographical terminology and digital representations in a range of appropriate communication forms.</w:t>
      </w:r>
    </w:p>
    <w:p w14:paraId="00B9F628" w14:textId="77777777" w:rsidR="007E04C5" w:rsidRPr="007E04C5" w:rsidRDefault="007E04C5" w:rsidP="007E04C5">
      <w:pPr>
        <w:pStyle w:val="Heading2"/>
        <w:rPr>
          <w:rStyle w:val="Strong"/>
          <w:b w:val="0"/>
          <w:bCs w:val="0"/>
        </w:rPr>
      </w:pPr>
      <w:r w:rsidRPr="007E04C5">
        <w:rPr>
          <w:rStyle w:val="Strong"/>
          <w:b w:val="0"/>
          <w:bCs w:val="0"/>
        </w:rPr>
        <w:t>Relevant parts of Year 10 Geography achievement standards </w:t>
      </w:r>
    </w:p>
    <w:p w14:paraId="4BEC6871" w14:textId="4ABE144C" w:rsidR="007E04C5" w:rsidRDefault="007E04C5" w:rsidP="007E04C5">
      <w:pPr>
        <w:pStyle w:val="NormalWeb"/>
        <w:numPr>
          <w:ilvl w:val="0"/>
          <w:numId w:val="22"/>
        </w:numPr>
        <w:shd w:val="clear" w:color="auto" w:fill="FFFFFF"/>
        <w:spacing w:before="0" w:beforeAutospacing="0" w:after="135" w:afterAutospacing="0"/>
        <w:rPr>
          <w:rFonts w:asciiTheme="minorHAnsi" w:hAnsiTheme="minorHAnsi" w:cstheme="minorHAnsi"/>
          <w:color w:val="333333"/>
        </w:rPr>
      </w:pPr>
      <w:r w:rsidRPr="007E04C5">
        <w:rPr>
          <w:rFonts w:asciiTheme="minorHAnsi" w:hAnsiTheme="minorHAnsi" w:cstheme="minorHAnsi"/>
          <w:color w:val="333333"/>
        </w:rPr>
        <w:t>Students identify, analyse and explain significant interconnections between people, places and environments and explain changes that result from these interconnections and their consequences. Students present findings, arguments and explanations using relevant geographical terminology and graphic representations and digital technologies in a range of selected and appropriate communication forms.</w:t>
      </w:r>
    </w:p>
    <w:p w14:paraId="6D50FCA4" w14:textId="77777777" w:rsidR="007E04C5" w:rsidRPr="007E04C5" w:rsidRDefault="007E04C5" w:rsidP="007E04C5">
      <w:pPr>
        <w:pStyle w:val="NormalWeb"/>
        <w:shd w:val="clear" w:color="auto" w:fill="FFFFFF"/>
        <w:spacing w:before="0" w:beforeAutospacing="0" w:after="135" w:afterAutospacing="0"/>
        <w:rPr>
          <w:rFonts w:asciiTheme="minorHAnsi" w:hAnsiTheme="minorHAnsi" w:cstheme="minorHAnsi"/>
          <w:color w:val="333333"/>
        </w:rPr>
      </w:pPr>
    </w:p>
    <w:p w14:paraId="69DC3694" w14:textId="77777777" w:rsidR="007E04C5" w:rsidRPr="007E04C5" w:rsidRDefault="007E04C5" w:rsidP="007E04C5">
      <w:pPr>
        <w:pStyle w:val="NormalWeb"/>
        <w:shd w:val="clear" w:color="auto" w:fill="FFFFFF"/>
        <w:spacing w:before="0" w:beforeAutospacing="0" w:after="135" w:afterAutospacing="0"/>
        <w:rPr>
          <w:rFonts w:asciiTheme="minorHAnsi" w:hAnsiTheme="minorHAnsi" w:cstheme="minorHAnsi"/>
          <w:color w:val="333333"/>
        </w:rPr>
      </w:pPr>
      <w:r w:rsidRPr="007E04C5">
        <w:rPr>
          <w:rStyle w:val="Strong"/>
          <w:rFonts w:asciiTheme="minorHAnsi" w:hAnsiTheme="minorHAnsi" w:cstheme="minorHAnsi"/>
          <w:b w:val="0"/>
          <w:bCs w:val="0"/>
          <w:color w:val="333333"/>
        </w:rPr>
        <w:t>Syllabus outcomes: </w:t>
      </w:r>
      <w:hyperlink r:id="rId12" w:tgtFrame="_blank" w:history="1">
        <w:r w:rsidRPr="007E04C5">
          <w:rPr>
            <w:rStyle w:val="Hyperlink"/>
            <w:rFonts w:asciiTheme="minorHAnsi" w:hAnsiTheme="minorHAnsi" w:cstheme="minorHAnsi"/>
            <w:color w:val="23A8E5"/>
            <w:u w:val="none"/>
          </w:rPr>
          <w:t>GE5-2, GE5-3, GE5-5, GE5-8</w:t>
        </w:r>
      </w:hyperlink>
      <w:r w:rsidRPr="007E04C5">
        <w:rPr>
          <w:rFonts w:asciiTheme="minorHAnsi" w:hAnsiTheme="minorHAnsi" w:cstheme="minorHAnsi"/>
          <w:color w:val="333333"/>
        </w:rPr>
        <w:t>.</w:t>
      </w:r>
    </w:p>
    <w:p w14:paraId="4026B7F6" w14:textId="77777777" w:rsidR="007E04C5" w:rsidRPr="007E04C5" w:rsidRDefault="007E04C5" w:rsidP="007E04C5">
      <w:pPr>
        <w:pStyle w:val="NormalWeb"/>
        <w:shd w:val="clear" w:color="auto" w:fill="FFFFFF"/>
        <w:spacing w:before="0" w:beforeAutospacing="0" w:after="135" w:afterAutospacing="0"/>
        <w:rPr>
          <w:rFonts w:asciiTheme="minorHAnsi" w:hAnsiTheme="minorHAnsi" w:cstheme="minorHAnsi"/>
          <w:b/>
          <w:bCs/>
          <w:color w:val="333333"/>
        </w:rPr>
      </w:pPr>
      <w:r w:rsidRPr="007E04C5">
        <w:rPr>
          <w:rStyle w:val="Strong"/>
          <w:rFonts w:asciiTheme="minorHAnsi" w:hAnsiTheme="minorHAnsi" w:cstheme="minorHAnsi"/>
          <w:b w:val="0"/>
          <w:bCs w:val="0"/>
          <w:color w:val="333333"/>
        </w:rPr>
        <w:t>General capabilities:</w:t>
      </w:r>
      <w:r w:rsidRPr="007E04C5">
        <w:rPr>
          <w:rFonts w:asciiTheme="minorHAnsi" w:hAnsiTheme="minorHAnsi" w:cstheme="minorHAnsi"/>
          <w:b/>
          <w:bCs/>
          <w:color w:val="333333"/>
        </w:rPr>
        <w:t> </w:t>
      </w:r>
      <w:hyperlink r:id="rId13" w:tgtFrame="_blank" w:history="1">
        <w:r w:rsidRPr="007E04C5">
          <w:rPr>
            <w:rStyle w:val="Hyperlink"/>
            <w:rFonts w:asciiTheme="minorHAnsi" w:hAnsiTheme="minorHAnsi" w:cstheme="minorHAnsi"/>
            <w:color w:val="23A8E5"/>
            <w:u w:val="none"/>
          </w:rPr>
          <w:t>Critical and Creative Thinking.</w:t>
        </w:r>
      </w:hyperlink>
    </w:p>
    <w:p w14:paraId="286C3D4C" w14:textId="77777777" w:rsidR="007E04C5" w:rsidRPr="007E04C5" w:rsidRDefault="007E04C5" w:rsidP="007E04C5">
      <w:pPr>
        <w:pStyle w:val="NormalWeb"/>
        <w:shd w:val="clear" w:color="auto" w:fill="FFFFFF"/>
        <w:spacing w:before="0" w:beforeAutospacing="0" w:after="135" w:afterAutospacing="0"/>
        <w:rPr>
          <w:rFonts w:asciiTheme="minorHAnsi" w:hAnsiTheme="minorHAnsi" w:cstheme="minorHAnsi"/>
          <w:b/>
          <w:bCs/>
          <w:color w:val="333333"/>
        </w:rPr>
      </w:pPr>
      <w:r w:rsidRPr="007E04C5">
        <w:rPr>
          <w:rStyle w:val="Strong"/>
          <w:rFonts w:asciiTheme="minorHAnsi" w:hAnsiTheme="minorHAnsi" w:cstheme="minorHAnsi"/>
          <w:b w:val="0"/>
          <w:bCs w:val="0"/>
          <w:color w:val="333333"/>
        </w:rPr>
        <w:t>Cross-curriculum priority:</w:t>
      </w:r>
      <w:r w:rsidRPr="007E04C5">
        <w:rPr>
          <w:rFonts w:asciiTheme="minorHAnsi" w:hAnsiTheme="minorHAnsi" w:cstheme="minorHAnsi"/>
          <w:b/>
          <w:bCs/>
          <w:color w:val="333333"/>
        </w:rPr>
        <w:t> </w:t>
      </w:r>
      <w:hyperlink r:id="rId14" w:tgtFrame="_blank" w:history="1">
        <w:r w:rsidRPr="007E04C5">
          <w:rPr>
            <w:rStyle w:val="Hyperlink"/>
            <w:rFonts w:asciiTheme="minorHAnsi" w:hAnsiTheme="minorHAnsi" w:cstheme="minorHAnsi"/>
            <w:color w:val="23A8E5"/>
            <w:u w:val="none"/>
          </w:rPr>
          <w:t>Sustainability OI.3, OI.8, OI.9.</w:t>
        </w:r>
      </w:hyperlink>
    </w:p>
    <w:sectPr w:rsidR="007E04C5" w:rsidRPr="007E04C5" w:rsidSect="00A368CA">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DF61" w14:textId="77777777" w:rsidR="00DE6869" w:rsidRDefault="00DE6869" w:rsidP="00AC242E">
      <w:r>
        <w:separator/>
      </w:r>
    </w:p>
  </w:endnote>
  <w:endnote w:type="continuationSeparator" w:id="0">
    <w:p w14:paraId="22C75F96" w14:textId="77777777" w:rsidR="00DE6869" w:rsidRDefault="00DE6869" w:rsidP="00AC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2130" w14:textId="5699C554" w:rsidR="00AC242E" w:rsidRDefault="00AC242E" w:rsidP="002B5827">
    <w:pPr>
      <w:pStyle w:val="Footer"/>
      <w:jc w:val="right"/>
    </w:pPr>
    <w:r w:rsidRPr="00AC242E">
      <w:t xml:space="preserve">Australian Curriculum Mapping: 2040 – </w:t>
    </w:r>
    <w:r w:rsidR="007E04C5">
      <w:t>Food Security – Geography</w:t>
    </w:r>
    <w:r w:rsidRPr="00AC242E">
      <w:t xml:space="preserve"> – Years </w:t>
    </w:r>
    <w:r w:rsidR="007E04C5">
      <w:t>9</w:t>
    </w:r>
    <w:r w:rsidRPr="00AC242E">
      <w:t xml:space="preserve"> &amp; </w:t>
    </w:r>
    <w:r w:rsidR="007E04C5">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4128" w14:textId="77777777" w:rsidR="00DE6869" w:rsidRDefault="00DE6869" w:rsidP="00AC242E">
      <w:r>
        <w:separator/>
      </w:r>
    </w:p>
  </w:footnote>
  <w:footnote w:type="continuationSeparator" w:id="0">
    <w:p w14:paraId="0528A2D8" w14:textId="77777777" w:rsidR="00DE6869" w:rsidRDefault="00DE6869" w:rsidP="00AC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01A"/>
    <w:multiLevelType w:val="multilevel"/>
    <w:tmpl w:val="E380242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94192"/>
    <w:multiLevelType w:val="multilevel"/>
    <w:tmpl w:val="5FFA7BD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F2725"/>
    <w:multiLevelType w:val="multilevel"/>
    <w:tmpl w:val="E0DCF13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53E06"/>
    <w:multiLevelType w:val="multilevel"/>
    <w:tmpl w:val="E62A885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059E4"/>
    <w:multiLevelType w:val="multilevel"/>
    <w:tmpl w:val="D2AE1C9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9223A"/>
    <w:multiLevelType w:val="multilevel"/>
    <w:tmpl w:val="FD5427D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434138"/>
    <w:multiLevelType w:val="multilevel"/>
    <w:tmpl w:val="518CB6F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1452BA"/>
    <w:multiLevelType w:val="multilevel"/>
    <w:tmpl w:val="F9D4C3E0"/>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02336"/>
    <w:multiLevelType w:val="multilevel"/>
    <w:tmpl w:val="59744F8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8E5007"/>
    <w:multiLevelType w:val="hybridMultilevel"/>
    <w:tmpl w:val="13865A4C"/>
    <w:lvl w:ilvl="0" w:tplc="D284D14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61F34"/>
    <w:multiLevelType w:val="multilevel"/>
    <w:tmpl w:val="9B72CD4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84751E"/>
    <w:multiLevelType w:val="hybridMultilevel"/>
    <w:tmpl w:val="CA8017D2"/>
    <w:lvl w:ilvl="0" w:tplc="BF084260">
      <w:start w:val="1"/>
      <w:numFmt w:val="bullet"/>
      <w:lvlText w:val="-"/>
      <w:lvlJc w:val="left"/>
      <w:pPr>
        <w:ind w:left="735" w:hanging="360"/>
      </w:pPr>
      <w:rPr>
        <w:rFonts w:ascii="Calibri" w:eastAsia="Times New Roman" w:hAnsi="Calibri" w:cs="Calibr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57E367E9"/>
    <w:multiLevelType w:val="multilevel"/>
    <w:tmpl w:val="19FE802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574CA8"/>
    <w:multiLevelType w:val="multilevel"/>
    <w:tmpl w:val="BF4C377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7115CC"/>
    <w:multiLevelType w:val="multilevel"/>
    <w:tmpl w:val="21A88EE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706A62"/>
    <w:multiLevelType w:val="multilevel"/>
    <w:tmpl w:val="E45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747D01"/>
    <w:multiLevelType w:val="multilevel"/>
    <w:tmpl w:val="DB70D11E"/>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971E80"/>
    <w:multiLevelType w:val="multilevel"/>
    <w:tmpl w:val="37AC393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1A2BBD"/>
    <w:multiLevelType w:val="multilevel"/>
    <w:tmpl w:val="D40ED7BA"/>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5374BD"/>
    <w:multiLevelType w:val="multilevel"/>
    <w:tmpl w:val="0A9079C4"/>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A47788"/>
    <w:multiLevelType w:val="multilevel"/>
    <w:tmpl w:val="3782BFA8"/>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B5647A"/>
    <w:multiLevelType w:val="multilevel"/>
    <w:tmpl w:val="F0AEC806"/>
    <w:lvl w:ilvl="0">
      <w:start w:val="1"/>
      <w:numFmt w:val="bullet"/>
      <w:lvlText w:val="-"/>
      <w:lvlJc w:val="left"/>
      <w:pPr>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20"/>
  </w:num>
  <w:num w:numId="4">
    <w:abstractNumId w:val="11"/>
  </w:num>
  <w:num w:numId="5">
    <w:abstractNumId w:val="9"/>
  </w:num>
  <w:num w:numId="6">
    <w:abstractNumId w:val="8"/>
  </w:num>
  <w:num w:numId="7">
    <w:abstractNumId w:val="16"/>
  </w:num>
  <w:num w:numId="8">
    <w:abstractNumId w:val="3"/>
  </w:num>
  <w:num w:numId="9">
    <w:abstractNumId w:val="2"/>
  </w:num>
  <w:num w:numId="10">
    <w:abstractNumId w:val="10"/>
  </w:num>
  <w:num w:numId="11">
    <w:abstractNumId w:val="12"/>
  </w:num>
  <w:num w:numId="12">
    <w:abstractNumId w:val="21"/>
  </w:num>
  <w:num w:numId="13">
    <w:abstractNumId w:val="14"/>
  </w:num>
  <w:num w:numId="14">
    <w:abstractNumId w:val="13"/>
  </w:num>
  <w:num w:numId="15">
    <w:abstractNumId w:val="1"/>
  </w:num>
  <w:num w:numId="16">
    <w:abstractNumId w:val="6"/>
  </w:num>
  <w:num w:numId="17">
    <w:abstractNumId w:val="17"/>
  </w:num>
  <w:num w:numId="18">
    <w:abstractNumId w:val="0"/>
  </w:num>
  <w:num w:numId="19">
    <w:abstractNumId w:val="5"/>
  </w:num>
  <w:num w:numId="20">
    <w:abstractNumId w:val="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2E"/>
    <w:rsid w:val="000047A0"/>
    <w:rsid w:val="0009108A"/>
    <w:rsid w:val="00161292"/>
    <w:rsid w:val="002B5827"/>
    <w:rsid w:val="00336BBC"/>
    <w:rsid w:val="003C6571"/>
    <w:rsid w:val="00471689"/>
    <w:rsid w:val="00581115"/>
    <w:rsid w:val="005D45EE"/>
    <w:rsid w:val="006A5D50"/>
    <w:rsid w:val="006C6939"/>
    <w:rsid w:val="007A0CC3"/>
    <w:rsid w:val="007E04C5"/>
    <w:rsid w:val="007F5D2F"/>
    <w:rsid w:val="00A17CA0"/>
    <w:rsid w:val="00A368CA"/>
    <w:rsid w:val="00AC242E"/>
    <w:rsid w:val="00B10921"/>
    <w:rsid w:val="00D81D76"/>
    <w:rsid w:val="00DE6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6CA4465"/>
  <w15:chartTrackingRefBased/>
  <w15:docId w15:val="{3A55B575-8374-4E42-B23A-98889ABE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24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24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242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42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C242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C242E"/>
    <w:rPr>
      <w:b/>
      <w:bCs/>
    </w:rPr>
  </w:style>
  <w:style w:type="character" w:styleId="Hyperlink">
    <w:name w:val="Hyperlink"/>
    <w:basedOn w:val="DefaultParagraphFont"/>
    <w:uiPriority w:val="99"/>
    <w:semiHidden/>
    <w:unhideWhenUsed/>
    <w:rsid w:val="00AC242E"/>
    <w:rPr>
      <w:color w:val="0000FF"/>
      <w:u w:val="single"/>
    </w:rPr>
  </w:style>
  <w:style w:type="character" w:customStyle="1" w:styleId="Heading1Char">
    <w:name w:val="Heading 1 Char"/>
    <w:basedOn w:val="DefaultParagraphFont"/>
    <w:link w:val="Heading1"/>
    <w:uiPriority w:val="9"/>
    <w:rsid w:val="00AC24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24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242E"/>
    <w:pPr>
      <w:ind w:left="720"/>
      <w:contextualSpacing/>
    </w:pPr>
  </w:style>
  <w:style w:type="paragraph" w:styleId="Header">
    <w:name w:val="header"/>
    <w:basedOn w:val="Normal"/>
    <w:link w:val="HeaderChar"/>
    <w:uiPriority w:val="99"/>
    <w:unhideWhenUsed/>
    <w:rsid w:val="00AC242E"/>
    <w:pPr>
      <w:tabs>
        <w:tab w:val="center" w:pos="4680"/>
        <w:tab w:val="right" w:pos="9360"/>
      </w:tabs>
    </w:pPr>
  </w:style>
  <w:style w:type="character" w:customStyle="1" w:styleId="HeaderChar">
    <w:name w:val="Header Char"/>
    <w:basedOn w:val="DefaultParagraphFont"/>
    <w:link w:val="Header"/>
    <w:uiPriority w:val="99"/>
    <w:rsid w:val="00AC242E"/>
  </w:style>
  <w:style w:type="paragraph" w:styleId="Footer">
    <w:name w:val="footer"/>
    <w:basedOn w:val="Normal"/>
    <w:link w:val="FooterChar"/>
    <w:uiPriority w:val="99"/>
    <w:unhideWhenUsed/>
    <w:rsid w:val="00AC242E"/>
    <w:pPr>
      <w:tabs>
        <w:tab w:val="center" w:pos="4680"/>
        <w:tab w:val="right" w:pos="9360"/>
      </w:tabs>
    </w:pPr>
  </w:style>
  <w:style w:type="character" w:customStyle="1" w:styleId="FooterChar">
    <w:name w:val="Footer Char"/>
    <w:basedOn w:val="DefaultParagraphFont"/>
    <w:link w:val="Footer"/>
    <w:uiPriority w:val="99"/>
    <w:rsid w:val="00AC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90092">
      <w:bodyDiv w:val="1"/>
      <w:marLeft w:val="0"/>
      <w:marRight w:val="0"/>
      <w:marTop w:val="0"/>
      <w:marBottom w:val="0"/>
      <w:divBdr>
        <w:top w:val="none" w:sz="0" w:space="0" w:color="auto"/>
        <w:left w:val="none" w:sz="0" w:space="0" w:color="auto"/>
        <w:bottom w:val="none" w:sz="0" w:space="0" w:color="auto"/>
        <w:right w:val="none" w:sz="0" w:space="0" w:color="auto"/>
      </w:divBdr>
    </w:div>
    <w:div w:id="630331838">
      <w:bodyDiv w:val="1"/>
      <w:marLeft w:val="0"/>
      <w:marRight w:val="0"/>
      <w:marTop w:val="0"/>
      <w:marBottom w:val="0"/>
      <w:divBdr>
        <w:top w:val="none" w:sz="0" w:space="0" w:color="auto"/>
        <w:left w:val="none" w:sz="0" w:space="0" w:color="auto"/>
        <w:bottom w:val="none" w:sz="0" w:space="0" w:color="auto"/>
        <w:right w:val="none" w:sz="0" w:space="0" w:color="auto"/>
      </w:divBdr>
    </w:div>
    <w:div w:id="710230439">
      <w:bodyDiv w:val="1"/>
      <w:marLeft w:val="0"/>
      <w:marRight w:val="0"/>
      <w:marTop w:val="0"/>
      <w:marBottom w:val="0"/>
      <w:divBdr>
        <w:top w:val="none" w:sz="0" w:space="0" w:color="auto"/>
        <w:left w:val="none" w:sz="0" w:space="0" w:color="auto"/>
        <w:bottom w:val="none" w:sz="0" w:space="0" w:color="auto"/>
        <w:right w:val="none" w:sz="0" w:space="0" w:color="auto"/>
      </w:divBdr>
    </w:div>
    <w:div w:id="925265710">
      <w:bodyDiv w:val="1"/>
      <w:marLeft w:val="0"/>
      <w:marRight w:val="0"/>
      <w:marTop w:val="0"/>
      <w:marBottom w:val="0"/>
      <w:divBdr>
        <w:top w:val="none" w:sz="0" w:space="0" w:color="auto"/>
        <w:left w:val="none" w:sz="0" w:space="0" w:color="auto"/>
        <w:bottom w:val="none" w:sz="0" w:space="0" w:color="auto"/>
        <w:right w:val="none" w:sz="0" w:space="0" w:color="auto"/>
      </w:divBdr>
    </w:div>
    <w:div w:id="929923052">
      <w:bodyDiv w:val="1"/>
      <w:marLeft w:val="0"/>
      <w:marRight w:val="0"/>
      <w:marTop w:val="0"/>
      <w:marBottom w:val="0"/>
      <w:divBdr>
        <w:top w:val="none" w:sz="0" w:space="0" w:color="auto"/>
        <w:left w:val="none" w:sz="0" w:space="0" w:color="auto"/>
        <w:bottom w:val="none" w:sz="0" w:space="0" w:color="auto"/>
        <w:right w:val="none" w:sz="0" w:space="0" w:color="auto"/>
      </w:divBdr>
    </w:div>
    <w:div w:id="1126780598">
      <w:bodyDiv w:val="1"/>
      <w:marLeft w:val="0"/>
      <w:marRight w:val="0"/>
      <w:marTop w:val="0"/>
      <w:marBottom w:val="0"/>
      <w:divBdr>
        <w:top w:val="none" w:sz="0" w:space="0" w:color="auto"/>
        <w:left w:val="none" w:sz="0" w:space="0" w:color="auto"/>
        <w:bottom w:val="none" w:sz="0" w:space="0" w:color="auto"/>
        <w:right w:val="none" w:sz="0" w:space="0" w:color="auto"/>
      </w:divBdr>
    </w:div>
    <w:div w:id="1226066266">
      <w:bodyDiv w:val="1"/>
      <w:marLeft w:val="0"/>
      <w:marRight w:val="0"/>
      <w:marTop w:val="0"/>
      <w:marBottom w:val="0"/>
      <w:divBdr>
        <w:top w:val="none" w:sz="0" w:space="0" w:color="auto"/>
        <w:left w:val="none" w:sz="0" w:space="0" w:color="auto"/>
        <w:bottom w:val="none" w:sz="0" w:space="0" w:color="auto"/>
        <w:right w:val="none" w:sz="0" w:space="0" w:color="auto"/>
      </w:divBdr>
    </w:div>
    <w:div w:id="1290278626">
      <w:bodyDiv w:val="1"/>
      <w:marLeft w:val="0"/>
      <w:marRight w:val="0"/>
      <w:marTop w:val="0"/>
      <w:marBottom w:val="0"/>
      <w:divBdr>
        <w:top w:val="none" w:sz="0" w:space="0" w:color="auto"/>
        <w:left w:val="none" w:sz="0" w:space="0" w:color="auto"/>
        <w:bottom w:val="none" w:sz="0" w:space="0" w:color="auto"/>
        <w:right w:val="none" w:sz="0" w:space="0" w:color="auto"/>
      </w:divBdr>
    </w:div>
    <w:div w:id="1904557296">
      <w:bodyDiv w:val="1"/>
      <w:marLeft w:val="0"/>
      <w:marRight w:val="0"/>
      <w:marTop w:val="0"/>
      <w:marBottom w:val="0"/>
      <w:divBdr>
        <w:top w:val="none" w:sz="0" w:space="0" w:color="auto"/>
        <w:left w:val="none" w:sz="0" w:space="0" w:color="auto"/>
        <w:bottom w:val="none" w:sz="0" w:space="0" w:color="auto"/>
        <w:right w:val="none" w:sz="0" w:space="0" w:color="auto"/>
      </w:divBdr>
    </w:div>
    <w:div w:id="1917470101">
      <w:bodyDiv w:val="1"/>
      <w:marLeft w:val="0"/>
      <w:marRight w:val="0"/>
      <w:marTop w:val="0"/>
      <w:marBottom w:val="0"/>
      <w:divBdr>
        <w:top w:val="none" w:sz="0" w:space="0" w:color="auto"/>
        <w:left w:val="none" w:sz="0" w:space="0" w:color="auto"/>
        <w:bottom w:val="none" w:sz="0" w:space="0" w:color="auto"/>
        <w:right w:val="none" w:sz="0" w:space="0" w:color="auto"/>
      </w:divBdr>
    </w:div>
    <w:div w:id="21347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humanities-and-social-sciences/geography/?strand=Geographical+Knowledge+and+Understanding&amp;strand=Geographical+Inquiry+and+Skills&amp;capability=ignore&amp;priority=ignore&amp;year=12379&amp;elaborations=true&amp;cd=ACHGK064&amp;searchTerm=ACHGK064" TargetMode="External"/><Relationship Id="rId13" Type="http://schemas.openxmlformats.org/officeDocument/2006/relationships/hyperlink" Target="https://www.australiancurriculum.edu.au/f-10-curriculum/general-capabilities/critical-and-creative-thinking/" TargetMode="External"/><Relationship Id="rId3" Type="http://schemas.openxmlformats.org/officeDocument/2006/relationships/settings" Target="settings.xml"/><Relationship Id="rId7" Type="http://schemas.openxmlformats.org/officeDocument/2006/relationships/hyperlink" Target="https://www.australiancurriculum.edu.au/f-10-curriculum/humanities-and-social-sciences/geography/?strand=Geographical+Knowledge+and+Understanding&amp;strand=Geographical+Inquiry+and+Skills&amp;capability=ignore&amp;priority=ignore&amp;year=12379&amp;elaborations=true&amp;cd=ACHGK063&amp;searchTerm=ACHGK063" TargetMode="External"/><Relationship Id="rId12" Type="http://schemas.openxmlformats.org/officeDocument/2006/relationships/hyperlink" Target="http://syllabus.bostes.nsw.edu.au/hsie/geography-k10/outco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f-10-curriculum/humanities-and-social-sciences/geography/?strand=Geographical+Knowledge+and+Understanding&amp;strand=Geographical+Inquiry+and+Skills&amp;capability=ignore&amp;priority=ignore&amp;year=12380&amp;elaborations=true&amp;cd=ACHGS079&amp;searchTerm=ACHGS0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ustraliancurriculum.edu.au/f-10-curriculum/humanities-and-social-sciences/geography/?strand=Geographical+Knowledge+and+Understanding&amp;strand=Geographical+Inquiry+and+Skills&amp;capability=ignore&amp;priority=ignore&amp;year=12380&amp;elaborations=true&amp;cd=ACHGK070&amp;searchTerm=ACHGK070" TargetMode="External"/><Relationship Id="rId4" Type="http://schemas.openxmlformats.org/officeDocument/2006/relationships/webSettings" Target="webSettings.xml"/><Relationship Id="rId9" Type="http://schemas.openxmlformats.org/officeDocument/2006/relationships/hyperlink" Target="https://www.australiancurriculum.edu.au/f-10-curriculum/humanities-and-social-sciences/geography/?strand=Geographical+Knowledge+and+Understanding&amp;strand=Geographical+Inquiry+and+Skills&amp;capability=ignore&amp;priority=ignore&amp;year=12379&amp;elaborations=true&amp;cd=ACHGS070&amp;searchTerm=ACHGS070" TargetMode="External"/><Relationship Id="rId14" Type="http://schemas.openxmlformats.org/officeDocument/2006/relationships/hyperlink" Target="https://www.australiancurriculum.edu.au/f-10-curriculum/cross-curriculum-priorities/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2019-10-09T02:42:00Z</dcterms:created>
  <dcterms:modified xsi:type="dcterms:W3CDTF">2019-10-10T00:15:00Z</dcterms:modified>
</cp:coreProperties>
</file>