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343" w14:textId="0D74E53B" w:rsidR="00AC242E" w:rsidRPr="00AC242E" w:rsidRDefault="00AC242E" w:rsidP="00AC242E">
      <w:pPr>
        <w:pStyle w:val="Heading1"/>
        <w:rPr>
          <w:rFonts w:eastAsia="Times New Roman"/>
          <w:lang w:eastAsia="en-GB"/>
        </w:rPr>
      </w:pPr>
      <w:r w:rsidRPr="00AC242E">
        <w:rPr>
          <w:rFonts w:eastAsia="Times New Roman"/>
          <w:lang w:eastAsia="en-GB"/>
        </w:rPr>
        <w:t>Australian Curriculum Mapping</w:t>
      </w:r>
      <w:r>
        <w:rPr>
          <w:rFonts w:eastAsia="Times New Roman"/>
          <w:lang w:eastAsia="en-GB"/>
        </w:rPr>
        <w:t xml:space="preserve">: </w:t>
      </w:r>
      <w:r w:rsidRPr="00AC242E">
        <w:rPr>
          <w:rFonts w:eastAsia="Times New Roman"/>
          <w:lang w:eastAsia="en-GB"/>
        </w:rPr>
        <w:t>2040 –</w:t>
      </w:r>
      <w:r w:rsidR="00B11F38">
        <w:rPr>
          <w:rFonts w:eastAsia="Times New Roman"/>
          <w:lang w:eastAsia="en-GB"/>
        </w:rPr>
        <w:t xml:space="preserve"> </w:t>
      </w:r>
      <w:r w:rsidR="005E0125">
        <w:rPr>
          <w:rFonts w:eastAsia="Times New Roman"/>
          <w:lang w:eastAsia="en-GB"/>
        </w:rPr>
        <w:t>The Seaweed Solution</w:t>
      </w:r>
      <w:r w:rsidR="00416D93">
        <w:rPr>
          <w:rFonts w:eastAsia="Times New Roman"/>
          <w:lang w:eastAsia="en-GB"/>
        </w:rPr>
        <w:t xml:space="preserve"> </w:t>
      </w:r>
      <w:r w:rsidRPr="00AC242E">
        <w:rPr>
          <w:rFonts w:eastAsia="Times New Roman"/>
          <w:lang w:eastAsia="en-GB"/>
        </w:rPr>
        <w:t>–</w:t>
      </w:r>
      <w:r w:rsidR="001D098E">
        <w:rPr>
          <w:rFonts w:eastAsia="Times New Roman"/>
          <w:lang w:eastAsia="en-GB"/>
        </w:rPr>
        <w:t xml:space="preserve"> </w:t>
      </w:r>
      <w:r w:rsidR="00E50C26">
        <w:rPr>
          <w:rFonts w:eastAsia="Times New Roman"/>
          <w:lang w:eastAsia="en-GB"/>
        </w:rPr>
        <w:t>Maths</w:t>
      </w:r>
      <w:r w:rsidR="000047A0">
        <w:rPr>
          <w:rFonts w:eastAsia="Times New Roman"/>
          <w:lang w:eastAsia="en-GB"/>
        </w:rPr>
        <w:t xml:space="preserve"> – </w:t>
      </w:r>
      <w:r w:rsidR="00416D93">
        <w:rPr>
          <w:rFonts w:eastAsia="Times New Roman"/>
          <w:lang w:eastAsia="en-GB"/>
        </w:rPr>
        <w:t>Year</w:t>
      </w:r>
      <w:r w:rsidR="005E0125">
        <w:rPr>
          <w:rFonts w:eastAsia="Times New Roman"/>
          <w:lang w:eastAsia="en-GB"/>
        </w:rPr>
        <w:t>s</w:t>
      </w:r>
      <w:r w:rsidR="00416D93">
        <w:rPr>
          <w:rFonts w:eastAsia="Times New Roman"/>
          <w:lang w:eastAsia="en-GB"/>
        </w:rPr>
        <w:t xml:space="preserve"> </w:t>
      </w:r>
      <w:r w:rsidR="005E0125">
        <w:rPr>
          <w:rFonts w:eastAsia="Times New Roman"/>
          <w:lang w:eastAsia="en-GB"/>
        </w:rPr>
        <w:t>7 &amp; 8</w:t>
      </w:r>
    </w:p>
    <w:p w14:paraId="70217F3A" w14:textId="77777777" w:rsidR="00471689" w:rsidRPr="00471689" w:rsidRDefault="00471689" w:rsidP="00471689">
      <w:pPr>
        <w:rPr>
          <w:lang w:eastAsia="en-GB"/>
        </w:rPr>
      </w:pPr>
    </w:p>
    <w:p w14:paraId="2FC417BB" w14:textId="188B17BB" w:rsidR="00AC242E" w:rsidRPr="00064802" w:rsidRDefault="00AC242E" w:rsidP="00D875DE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D56F7CB" w14:textId="77777777" w:rsidR="005E0125" w:rsidRPr="005E0125" w:rsidRDefault="005E0125" w:rsidP="005E0125">
      <w:pPr>
        <w:pStyle w:val="Heading2"/>
      </w:pPr>
      <w:r w:rsidRPr="005E0125">
        <w:rPr>
          <w:rStyle w:val="Strong"/>
          <w:b w:val="0"/>
          <w:bCs w:val="0"/>
        </w:rPr>
        <w:t>Year 7 Mathematics</w:t>
      </w:r>
    </w:p>
    <w:p w14:paraId="7C6D0394" w14:textId="77777777" w:rsidR="005E0125" w:rsidRPr="005E0125" w:rsidRDefault="005E0125" w:rsidP="005E012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5E0125">
        <w:rPr>
          <w:rFonts w:cstheme="minorHAnsi"/>
          <w:color w:val="333333"/>
        </w:rPr>
        <w:t>Connect fractions, decimals and percentages and carry out simple conversions (</w:t>
      </w:r>
      <w:hyperlink r:id="rId7" w:anchor="dimension-content" w:tgtFrame="_blank" w:history="1">
        <w:r w:rsidRPr="005E0125">
          <w:rPr>
            <w:rStyle w:val="Hyperlink"/>
            <w:rFonts w:cstheme="minorHAnsi"/>
            <w:color w:val="23A8E5"/>
            <w:u w:val="none"/>
          </w:rPr>
          <w:t>ACMNA157</w:t>
        </w:r>
      </w:hyperlink>
      <w:r w:rsidRPr="005E0125">
        <w:rPr>
          <w:rFonts w:cstheme="minorHAnsi"/>
          <w:color w:val="333333"/>
        </w:rPr>
        <w:t>)</w:t>
      </w:r>
    </w:p>
    <w:p w14:paraId="7D2F46FD" w14:textId="77777777" w:rsidR="005E0125" w:rsidRPr="005E0125" w:rsidRDefault="005E0125" w:rsidP="005E012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5E0125">
        <w:rPr>
          <w:rFonts w:cstheme="minorHAnsi"/>
          <w:color w:val="333333"/>
        </w:rPr>
        <w:t>Find percentages of quantities and express one quantity as a percentage of another, with and without digital technologies (</w:t>
      </w:r>
      <w:hyperlink r:id="rId8" w:anchor="dimension-content" w:tgtFrame="_blank" w:history="1">
        <w:r w:rsidRPr="005E0125">
          <w:rPr>
            <w:rStyle w:val="Hyperlink"/>
            <w:rFonts w:cstheme="minorHAnsi"/>
            <w:color w:val="23A8E5"/>
            <w:u w:val="none"/>
          </w:rPr>
          <w:t>ACMNA158</w:t>
        </w:r>
      </w:hyperlink>
      <w:r w:rsidRPr="005E0125">
        <w:rPr>
          <w:rFonts w:cstheme="minorHAnsi"/>
          <w:color w:val="333333"/>
        </w:rPr>
        <w:t>)</w:t>
      </w:r>
    </w:p>
    <w:p w14:paraId="19C34C6D" w14:textId="01336612" w:rsidR="005E0125" w:rsidRDefault="005E0125" w:rsidP="005E012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5E0125">
        <w:rPr>
          <w:rFonts w:cstheme="minorHAnsi"/>
          <w:color w:val="333333"/>
        </w:rPr>
        <w:t>Recognise and solve problems involving simple ratios (</w:t>
      </w:r>
      <w:hyperlink r:id="rId9" w:anchor="dimension-content" w:tgtFrame="_blank" w:history="1">
        <w:r w:rsidRPr="005E0125">
          <w:rPr>
            <w:rStyle w:val="Hyperlink"/>
            <w:rFonts w:cstheme="minorHAnsi"/>
            <w:color w:val="23A8E5"/>
            <w:u w:val="none"/>
          </w:rPr>
          <w:t>ACMNA173</w:t>
        </w:r>
      </w:hyperlink>
      <w:r w:rsidRPr="005E0125">
        <w:rPr>
          <w:rFonts w:cstheme="minorHAnsi"/>
          <w:color w:val="333333"/>
        </w:rPr>
        <w:t>)</w:t>
      </w:r>
    </w:p>
    <w:p w14:paraId="2BDF778A" w14:textId="77777777" w:rsidR="005E0125" w:rsidRPr="005E0125" w:rsidRDefault="005E0125" w:rsidP="005E0125">
      <w:p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333333"/>
        </w:rPr>
      </w:pPr>
    </w:p>
    <w:p w14:paraId="7457B674" w14:textId="77777777" w:rsidR="005E0125" w:rsidRPr="005E0125" w:rsidRDefault="005E0125" w:rsidP="005E0125">
      <w:pPr>
        <w:pStyle w:val="Heading2"/>
      </w:pPr>
      <w:r w:rsidRPr="005E0125">
        <w:rPr>
          <w:rStyle w:val="Strong"/>
          <w:b w:val="0"/>
          <w:bCs w:val="0"/>
        </w:rPr>
        <w:t>Year 8 Mathematics</w:t>
      </w:r>
    </w:p>
    <w:p w14:paraId="63FF7D92" w14:textId="77777777" w:rsidR="005E0125" w:rsidRPr="005E0125" w:rsidRDefault="005E0125" w:rsidP="005E01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5E0125">
        <w:rPr>
          <w:rFonts w:cstheme="minorHAnsi"/>
          <w:color w:val="333333"/>
        </w:rPr>
        <w:t>Solve problems involving the use of percentages, including percentage increases and decreases, with and without digital technologies (</w:t>
      </w:r>
      <w:hyperlink r:id="rId10" w:anchor="dimension-content" w:tgtFrame="_blank" w:history="1">
        <w:r w:rsidRPr="005E0125">
          <w:rPr>
            <w:rStyle w:val="Hyperlink"/>
            <w:rFonts w:cstheme="minorHAnsi"/>
            <w:color w:val="23A8E5"/>
            <w:u w:val="none"/>
          </w:rPr>
          <w:t>ACMNA187</w:t>
        </w:r>
      </w:hyperlink>
      <w:r w:rsidRPr="005E0125">
        <w:rPr>
          <w:rFonts w:cstheme="minorHAnsi"/>
          <w:color w:val="333333"/>
        </w:rPr>
        <w:t>)</w:t>
      </w:r>
    </w:p>
    <w:p w14:paraId="5B812693" w14:textId="77777777" w:rsidR="005E0125" w:rsidRPr="005E0125" w:rsidRDefault="005E0125" w:rsidP="005E012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5E0125">
        <w:rPr>
          <w:rFonts w:cstheme="minorHAnsi"/>
          <w:color w:val="333333"/>
        </w:rPr>
        <w:t>Solve a range of problems involving rates and ratios, with and without digital technologies (</w:t>
      </w:r>
      <w:hyperlink r:id="rId11" w:anchor="dimension-content" w:tgtFrame="_blank" w:history="1">
        <w:r w:rsidRPr="005E0125">
          <w:rPr>
            <w:rStyle w:val="Hyperlink"/>
            <w:rFonts w:cstheme="minorHAnsi"/>
            <w:color w:val="23A8E5"/>
            <w:u w:val="none"/>
          </w:rPr>
          <w:t>ACMNA188</w:t>
        </w:r>
      </w:hyperlink>
      <w:r w:rsidRPr="005E0125">
        <w:rPr>
          <w:rFonts w:cstheme="minorHAnsi"/>
          <w:color w:val="333333"/>
        </w:rPr>
        <w:t>)</w:t>
      </w:r>
    </w:p>
    <w:p w14:paraId="410A777D" w14:textId="77777777" w:rsidR="005E0125" w:rsidRDefault="005E0125" w:rsidP="005E0125">
      <w:pPr>
        <w:pStyle w:val="NormalWeb"/>
        <w:shd w:val="clear" w:color="auto" w:fill="FFFFFF"/>
        <w:spacing w:before="0" w:beforeAutospacing="0" w:after="135" w:afterAutospacing="0"/>
        <w:rPr>
          <w:rStyle w:val="Strong"/>
          <w:rFonts w:asciiTheme="minorHAnsi" w:hAnsiTheme="minorHAnsi" w:cstheme="minorHAnsi"/>
          <w:color w:val="333333"/>
        </w:rPr>
      </w:pPr>
      <w:bookmarkStart w:id="0" w:name="_GoBack"/>
      <w:bookmarkEnd w:id="0"/>
    </w:p>
    <w:p w14:paraId="46CF32EE" w14:textId="77777777" w:rsidR="0090184A" w:rsidRPr="0090184A" w:rsidRDefault="005E0125" w:rsidP="0090184A">
      <w:pPr>
        <w:pStyle w:val="Heading2"/>
      </w:pPr>
      <w:r w:rsidRPr="0090184A">
        <w:rPr>
          <w:rStyle w:val="Strong"/>
          <w:b w:val="0"/>
          <w:bCs w:val="0"/>
        </w:rPr>
        <w:t>Relevant parts of Year 7 achievement standards</w:t>
      </w:r>
      <w:r w:rsidRPr="0090184A">
        <w:t> </w:t>
      </w:r>
    </w:p>
    <w:p w14:paraId="3D7069AC" w14:textId="2486AEE8" w:rsidR="005E0125" w:rsidRPr="005E0125" w:rsidRDefault="005E0125" w:rsidP="0090184A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5E0125">
        <w:rPr>
          <w:rFonts w:asciiTheme="minorHAnsi" w:hAnsiTheme="minorHAnsi" w:cstheme="minorHAnsi"/>
          <w:color w:val="333333"/>
        </w:rPr>
        <w:t>Students solve problems involving percentages and all four operations with fractions and decimals. Students use fractions, decimals and percentages, and their equivalences. They express one quantity as a fraction or percentage of another.</w:t>
      </w:r>
    </w:p>
    <w:p w14:paraId="7893D720" w14:textId="206C9DCE" w:rsidR="0090184A" w:rsidRPr="0090184A" w:rsidRDefault="005E0125" w:rsidP="0090184A">
      <w:pPr>
        <w:pStyle w:val="Heading2"/>
      </w:pPr>
      <w:r w:rsidRPr="0090184A">
        <w:rPr>
          <w:rStyle w:val="Strong"/>
          <w:b w:val="0"/>
          <w:bCs w:val="0"/>
        </w:rPr>
        <w:t>Relevant parts of Year 8 achievement standards</w:t>
      </w:r>
    </w:p>
    <w:p w14:paraId="1C92D0F1" w14:textId="0DB56E70" w:rsidR="005E0125" w:rsidRPr="005E0125" w:rsidRDefault="005E0125" w:rsidP="0090184A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5E0125">
        <w:rPr>
          <w:rFonts w:asciiTheme="minorHAnsi" w:hAnsiTheme="minorHAnsi" w:cstheme="minorHAnsi"/>
          <w:color w:val="333333"/>
        </w:rPr>
        <w:t>Students solve everyday problems involving rates, ratios and percentages.</w:t>
      </w:r>
    </w:p>
    <w:p w14:paraId="78BBA69B" w14:textId="01EEBB16" w:rsidR="00D875DE" w:rsidRDefault="00D875DE" w:rsidP="004443F7">
      <w:pPr>
        <w:rPr>
          <w:b/>
          <w:bCs/>
        </w:rPr>
      </w:pPr>
    </w:p>
    <w:p w14:paraId="3E8BE6E7" w14:textId="77777777" w:rsidR="0090184A" w:rsidRDefault="0090184A" w:rsidP="004443F7">
      <w:pPr>
        <w:rPr>
          <w:b/>
          <w:bCs/>
        </w:rPr>
      </w:pPr>
    </w:p>
    <w:p w14:paraId="02A661B3" w14:textId="77777777" w:rsidR="005E0125" w:rsidRPr="005E0125" w:rsidRDefault="005E0125" w:rsidP="005E01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5E0125">
        <w:rPr>
          <w:rStyle w:val="Strong"/>
          <w:rFonts w:asciiTheme="minorHAnsi" w:hAnsiTheme="minorHAnsi" w:cstheme="minorHAnsi"/>
          <w:b w:val="0"/>
          <w:bCs w:val="0"/>
          <w:color w:val="333333"/>
        </w:rPr>
        <w:t>Syllabus outcomes:</w:t>
      </w:r>
      <w:r w:rsidRPr="005E0125">
        <w:rPr>
          <w:rStyle w:val="Strong"/>
          <w:rFonts w:asciiTheme="minorHAnsi" w:hAnsiTheme="minorHAnsi" w:cstheme="minorHAnsi"/>
          <w:color w:val="333333"/>
        </w:rPr>
        <w:t> </w:t>
      </w:r>
      <w:hyperlink r:id="rId12" w:tgtFrame="_blank" w:history="1">
        <w:r w:rsidRPr="005E0125">
          <w:rPr>
            <w:rStyle w:val="Hyperlink"/>
            <w:rFonts w:asciiTheme="minorHAnsi" w:hAnsiTheme="minorHAnsi" w:cstheme="minorHAnsi"/>
            <w:color w:val="23A8E5"/>
            <w:u w:val="none"/>
          </w:rPr>
          <w:t>MA4-1WM, MA4-2WM, MA4-3WM, MA4-5NA</w:t>
        </w:r>
      </w:hyperlink>
    </w:p>
    <w:p w14:paraId="43FEB498" w14:textId="77777777" w:rsidR="005E0125" w:rsidRPr="005E0125" w:rsidRDefault="005E0125" w:rsidP="005E01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5E0125">
        <w:rPr>
          <w:rStyle w:val="Strong"/>
          <w:rFonts w:asciiTheme="minorHAnsi" w:hAnsiTheme="minorHAnsi" w:cstheme="minorHAnsi"/>
          <w:b w:val="0"/>
          <w:bCs w:val="0"/>
          <w:color w:val="333333"/>
        </w:rPr>
        <w:t>General capabilities:</w:t>
      </w:r>
      <w:r w:rsidRPr="005E0125">
        <w:rPr>
          <w:rFonts w:asciiTheme="minorHAnsi" w:hAnsiTheme="minorHAnsi" w:cstheme="minorHAnsi"/>
          <w:b/>
          <w:bCs/>
          <w:color w:val="333333"/>
        </w:rPr>
        <w:t> </w:t>
      </w:r>
      <w:hyperlink r:id="rId13" w:tgtFrame="_blank" w:history="1">
        <w:r w:rsidRPr="005E0125">
          <w:rPr>
            <w:rStyle w:val="Hyperlink"/>
            <w:rFonts w:asciiTheme="minorHAnsi" w:hAnsiTheme="minorHAnsi" w:cstheme="minorHAnsi"/>
            <w:color w:val="23A8E5"/>
            <w:u w:val="none"/>
          </w:rPr>
          <w:t>Numeracy</w:t>
        </w:r>
      </w:hyperlink>
      <w:r w:rsidRPr="005E0125">
        <w:rPr>
          <w:rFonts w:asciiTheme="minorHAnsi" w:hAnsiTheme="minorHAnsi" w:cstheme="minorHAnsi"/>
          <w:color w:val="333333"/>
        </w:rPr>
        <w:t>, </w:t>
      </w:r>
      <w:hyperlink r:id="rId14" w:tgtFrame="_blank" w:history="1">
        <w:r w:rsidRPr="005E0125">
          <w:rPr>
            <w:rStyle w:val="Hyperlink"/>
            <w:rFonts w:asciiTheme="minorHAnsi" w:hAnsiTheme="minorHAnsi" w:cstheme="minorHAnsi"/>
            <w:color w:val="23A8E5"/>
            <w:u w:val="none"/>
          </w:rPr>
          <w:t>Literacy</w:t>
        </w:r>
      </w:hyperlink>
      <w:r w:rsidRPr="005E0125">
        <w:rPr>
          <w:rFonts w:asciiTheme="minorHAnsi" w:hAnsiTheme="minorHAnsi" w:cstheme="minorHAnsi"/>
          <w:color w:val="333333"/>
        </w:rPr>
        <w:t>, </w:t>
      </w:r>
      <w:hyperlink r:id="rId15" w:tgtFrame="_blank" w:history="1">
        <w:r w:rsidRPr="005E0125">
          <w:rPr>
            <w:rStyle w:val="Hyperlink"/>
            <w:rFonts w:asciiTheme="minorHAnsi" w:hAnsiTheme="minorHAnsi" w:cstheme="minorHAnsi"/>
            <w:color w:val="23A8E5"/>
            <w:u w:val="none"/>
          </w:rPr>
          <w:t>Critical and Creative Thinking</w:t>
        </w:r>
      </w:hyperlink>
      <w:r w:rsidRPr="005E0125">
        <w:rPr>
          <w:rFonts w:asciiTheme="minorHAnsi" w:hAnsiTheme="minorHAnsi" w:cstheme="minorHAnsi"/>
          <w:color w:val="333333"/>
        </w:rPr>
        <w:t>, </w:t>
      </w:r>
      <w:hyperlink r:id="rId16" w:tgtFrame="_blank" w:history="1">
        <w:r w:rsidRPr="005E0125">
          <w:rPr>
            <w:rStyle w:val="Hyperlink"/>
            <w:rFonts w:asciiTheme="minorHAnsi" w:hAnsiTheme="minorHAnsi" w:cstheme="minorHAnsi"/>
            <w:color w:val="23A8E5"/>
            <w:u w:val="none"/>
          </w:rPr>
          <w:t>Information and Communications Technology</w:t>
        </w:r>
      </w:hyperlink>
    </w:p>
    <w:p w14:paraId="1D62F747" w14:textId="77777777" w:rsidR="005E0125" w:rsidRPr="005E0125" w:rsidRDefault="005E0125" w:rsidP="005E01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5E0125">
        <w:rPr>
          <w:rStyle w:val="Strong"/>
          <w:rFonts w:asciiTheme="minorHAnsi" w:hAnsiTheme="minorHAnsi" w:cstheme="minorHAnsi"/>
          <w:b w:val="0"/>
          <w:bCs w:val="0"/>
          <w:color w:val="333333"/>
        </w:rPr>
        <w:t>Cross-curriculum priority:</w:t>
      </w:r>
      <w:r w:rsidRPr="005E0125">
        <w:rPr>
          <w:rFonts w:asciiTheme="minorHAnsi" w:hAnsiTheme="minorHAnsi" w:cstheme="minorHAnsi"/>
          <w:color w:val="333333"/>
        </w:rPr>
        <w:t> </w:t>
      </w:r>
      <w:hyperlink r:id="rId17" w:tgtFrame="_blank" w:history="1">
        <w:r w:rsidRPr="005E0125">
          <w:rPr>
            <w:rStyle w:val="Hyperlink"/>
            <w:rFonts w:asciiTheme="minorHAnsi" w:hAnsiTheme="minorHAnsi" w:cstheme="minorHAnsi"/>
            <w:color w:val="23A8E5"/>
            <w:u w:val="none"/>
          </w:rPr>
          <w:t>Sustainability</w:t>
        </w:r>
      </w:hyperlink>
    </w:p>
    <w:p w14:paraId="3BF35F93" w14:textId="77777777" w:rsidR="005E0125" w:rsidRPr="005E0125" w:rsidRDefault="005E0125" w:rsidP="004443F7"/>
    <w:sectPr w:rsidR="005E0125" w:rsidRPr="005E0125" w:rsidSect="00A368CA"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3D21" w14:textId="77777777" w:rsidR="0060216F" w:rsidRDefault="0060216F" w:rsidP="00AC242E">
      <w:r>
        <w:separator/>
      </w:r>
    </w:p>
  </w:endnote>
  <w:endnote w:type="continuationSeparator" w:id="0">
    <w:p w14:paraId="3194B50E" w14:textId="77777777" w:rsidR="0060216F" w:rsidRDefault="0060216F" w:rsidP="00A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2130" w14:textId="58AA55BA" w:rsidR="00AC242E" w:rsidRDefault="00AC242E" w:rsidP="002B5827">
    <w:pPr>
      <w:pStyle w:val="Footer"/>
      <w:jc w:val="right"/>
    </w:pPr>
    <w:r w:rsidRPr="00AC242E">
      <w:t>Australian Curriculum Mapping: 2040 –</w:t>
    </w:r>
    <w:r w:rsidR="001E3C9E">
      <w:t xml:space="preserve"> </w:t>
    </w:r>
    <w:r w:rsidR="005E0125">
      <w:t>The Seaweed Solution</w:t>
    </w:r>
    <w:r w:rsidR="000C5A8C">
      <w:t xml:space="preserve"> </w:t>
    </w:r>
    <w:r w:rsidR="007E04C5">
      <w:t>–</w:t>
    </w:r>
    <w:r w:rsidR="00416D93">
      <w:t xml:space="preserve"> </w:t>
    </w:r>
    <w:r w:rsidR="001E3C9E">
      <w:t xml:space="preserve">Maths </w:t>
    </w:r>
    <w:r w:rsidRPr="00AC242E">
      <w:t>– Year</w:t>
    </w:r>
    <w:r w:rsidR="005E0125">
      <w:t>s</w:t>
    </w:r>
    <w:r w:rsidR="00416D93">
      <w:t xml:space="preserve"> </w:t>
    </w:r>
    <w:r w:rsidR="005E0125">
      <w:t>7 &amp;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44C4" w14:textId="77777777" w:rsidR="0060216F" w:rsidRDefault="0060216F" w:rsidP="00AC242E">
      <w:r>
        <w:separator/>
      </w:r>
    </w:p>
  </w:footnote>
  <w:footnote w:type="continuationSeparator" w:id="0">
    <w:p w14:paraId="748ACCD7" w14:textId="77777777" w:rsidR="0060216F" w:rsidRDefault="0060216F" w:rsidP="00A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3F1"/>
    <w:multiLevelType w:val="multilevel"/>
    <w:tmpl w:val="6C74F4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6301A"/>
    <w:multiLevelType w:val="multilevel"/>
    <w:tmpl w:val="E38024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A00A4"/>
    <w:multiLevelType w:val="hybridMultilevel"/>
    <w:tmpl w:val="4B1CDA9C"/>
    <w:lvl w:ilvl="0" w:tplc="7C3C8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192"/>
    <w:multiLevelType w:val="multilevel"/>
    <w:tmpl w:val="5FFA7B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35D7B"/>
    <w:multiLevelType w:val="multilevel"/>
    <w:tmpl w:val="DC9CD7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F2725"/>
    <w:multiLevelType w:val="multilevel"/>
    <w:tmpl w:val="E0DCF1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3E06"/>
    <w:multiLevelType w:val="multilevel"/>
    <w:tmpl w:val="E62A88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3059E4"/>
    <w:multiLevelType w:val="multilevel"/>
    <w:tmpl w:val="D2AE1C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C672DD"/>
    <w:multiLevelType w:val="multilevel"/>
    <w:tmpl w:val="2A8465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9223A"/>
    <w:multiLevelType w:val="multilevel"/>
    <w:tmpl w:val="FD5427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34138"/>
    <w:multiLevelType w:val="multilevel"/>
    <w:tmpl w:val="518CB6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B349DB"/>
    <w:multiLevelType w:val="multilevel"/>
    <w:tmpl w:val="C4B274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1452BA"/>
    <w:multiLevelType w:val="multilevel"/>
    <w:tmpl w:val="F9D4C3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3979A4"/>
    <w:multiLevelType w:val="multilevel"/>
    <w:tmpl w:val="B88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F343C1"/>
    <w:multiLevelType w:val="multilevel"/>
    <w:tmpl w:val="E32E0C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2745C5"/>
    <w:multiLevelType w:val="multilevel"/>
    <w:tmpl w:val="3BDE3D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175D4A"/>
    <w:multiLevelType w:val="multilevel"/>
    <w:tmpl w:val="A09632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7D7EDF"/>
    <w:multiLevelType w:val="multilevel"/>
    <w:tmpl w:val="B2DC38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802336"/>
    <w:multiLevelType w:val="multilevel"/>
    <w:tmpl w:val="59744F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8E5007"/>
    <w:multiLevelType w:val="hybridMultilevel"/>
    <w:tmpl w:val="13865A4C"/>
    <w:lvl w:ilvl="0" w:tplc="D284D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7DE7"/>
    <w:multiLevelType w:val="multilevel"/>
    <w:tmpl w:val="DEB665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F9255E"/>
    <w:multiLevelType w:val="multilevel"/>
    <w:tmpl w:val="BE266C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6E0B31"/>
    <w:multiLevelType w:val="multilevel"/>
    <w:tmpl w:val="076062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561F34"/>
    <w:multiLevelType w:val="multilevel"/>
    <w:tmpl w:val="9B72C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84751E"/>
    <w:multiLevelType w:val="hybridMultilevel"/>
    <w:tmpl w:val="CA8017D2"/>
    <w:lvl w:ilvl="0" w:tplc="BF084260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51CF2876"/>
    <w:multiLevelType w:val="multilevel"/>
    <w:tmpl w:val="961E8EE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51174A"/>
    <w:multiLevelType w:val="multilevel"/>
    <w:tmpl w:val="65F60F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07205E"/>
    <w:multiLevelType w:val="multilevel"/>
    <w:tmpl w:val="334EA4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8139C3"/>
    <w:multiLevelType w:val="multilevel"/>
    <w:tmpl w:val="4A7CD2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E367E9"/>
    <w:multiLevelType w:val="multilevel"/>
    <w:tmpl w:val="19FE80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0C1206"/>
    <w:multiLevelType w:val="multilevel"/>
    <w:tmpl w:val="7506D34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574CA8"/>
    <w:multiLevelType w:val="multilevel"/>
    <w:tmpl w:val="BF4C37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7115CC"/>
    <w:multiLevelType w:val="multilevel"/>
    <w:tmpl w:val="21A88E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706A62"/>
    <w:multiLevelType w:val="multilevel"/>
    <w:tmpl w:val="E4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747D01"/>
    <w:multiLevelType w:val="multilevel"/>
    <w:tmpl w:val="DB70D1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6A53A9"/>
    <w:multiLevelType w:val="multilevel"/>
    <w:tmpl w:val="44F01B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19755B"/>
    <w:multiLevelType w:val="multilevel"/>
    <w:tmpl w:val="7102F4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46279F"/>
    <w:multiLevelType w:val="multilevel"/>
    <w:tmpl w:val="BEEE5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5058F9"/>
    <w:multiLevelType w:val="multilevel"/>
    <w:tmpl w:val="82020F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6B5040"/>
    <w:multiLevelType w:val="multilevel"/>
    <w:tmpl w:val="A92808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971E80"/>
    <w:multiLevelType w:val="multilevel"/>
    <w:tmpl w:val="37AC39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1A2BBD"/>
    <w:multiLevelType w:val="multilevel"/>
    <w:tmpl w:val="D40ED7B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5374BD"/>
    <w:multiLevelType w:val="multilevel"/>
    <w:tmpl w:val="0A9079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47788"/>
    <w:multiLevelType w:val="multilevel"/>
    <w:tmpl w:val="3782BF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931CB4"/>
    <w:multiLevelType w:val="multilevel"/>
    <w:tmpl w:val="746AAB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C356A9"/>
    <w:multiLevelType w:val="multilevel"/>
    <w:tmpl w:val="2E2A60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F85BA6"/>
    <w:multiLevelType w:val="multilevel"/>
    <w:tmpl w:val="3736641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B5647A"/>
    <w:multiLevelType w:val="multilevel"/>
    <w:tmpl w:val="F0AEC8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26547E"/>
    <w:multiLevelType w:val="multilevel"/>
    <w:tmpl w:val="38F097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2"/>
  </w:num>
  <w:num w:numId="3">
    <w:abstractNumId w:val="43"/>
  </w:num>
  <w:num w:numId="4">
    <w:abstractNumId w:val="24"/>
  </w:num>
  <w:num w:numId="5">
    <w:abstractNumId w:val="19"/>
  </w:num>
  <w:num w:numId="6">
    <w:abstractNumId w:val="18"/>
  </w:num>
  <w:num w:numId="7">
    <w:abstractNumId w:val="34"/>
  </w:num>
  <w:num w:numId="8">
    <w:abstractNumId w:val="6"/>
  </w:num>
  <w:num w:numId="9">
    <w:abstractNumId w:val="5"/>
  </w:num>
  <w:num w:numId="10">
    <w:abstractNumId w:val="23"/>
  </w:num>
  <w:num w:numId="11">
    <w:abstractNumId w:val="29"/>
  </w:num>
  <w:num w:numId="12">
    <w:abstractNumId w:val="47"/>
  </w:num>
  <w:num w:numId="13">
    <w:abstractNumId w:val="32"/>
  </w:num>
  <w:num w:numId="14">
    <w:abstractNumId w:val="31"/>
  </w:num>
  <w:num w:numId="15">
    <w:abstractNumId w:val="3"/>
  </w:num>
  <w:num w:numId="16">
    <w:abstractNumId w:val="10"/>
  </w:num>
  <w:num w:numId="17">
    <w:abstractNumId w:val="40"/>
  </w:num>
  <w:num w:numId="18">
    <w:abstractNumId w:val="1"/>
  </w:num>
  <w:num w:numId="19">
    <w:abstractNumId w:val="9"/>
  </w:num>
  <w:num w:numId="20">
    <w:abstractNumId w:val="7"/>
  </w:num>
  <w:num w:numId="21">
    <w:abstractNumId w:val="42"/>
  </w:num>
  <w:num w:numId="22">
    <w:abstractNumId w:val="41"/>
  </w:num>
  <w:num w:numId="23">
    <w:abstractNumId w:val="8"/>
  </w:num>
  <w:num w:numId="24">
    <w:abstractNumId w:val="21"/>
  </w:num>
  <w:num w:numId="25">
    <w:abstractNumId w:val="45"/>
  </w:num>
  <w:num w:numId="26">
    <w:abstractNumId w:val="11"/>
  </w:num>
  <w:num w:numId="27">
    <w:abstractNumId w:val="46"/>
  </w:num>
  <w:num w:numId="28">
    <w:abstractNumId w:val="38"/>
  </w:num>
  <w:num w:numId="29">
    <w:abstractNumId w:val="26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48"/>
  </w:num>
  <w:num w:numId="35">
    <w:abstractNumId w:val="17"/>
  </w:num>
  <w:num w:numId="36">
    <w:abstractNumId w:val="37"/>
  </w:num>
  <w:num w:numId="37">
    <w:abstractNumId w:val="30"/>
  </w:num>
  <w:num w:numId="38">
    <w:abstractNumId w:val="44"/>
  </w:num>
  <w:num w:numId="39">
    <w:abstractNumId w:val="14"/>
  </w:num>
  <w:num w:numId="40">
    <w:abstractNumId w:val="20"/>
  </w:num>
  <w:num w:numId="41">
    <w:abstractNumId w:val="15"/>
  </w:num>
  <w:num w:numId="42">
    <w:abstractNumId w:val="22"/>
  </w:num>
  <w:num w:numId="43">
    <w:abstractNumId w:val="36"/>
  </w:num>
  <w:num w:numId="44">
    <w:abstractNumId w:val="0"/>
  </w:num>
  <w:num w:numId="45">
    <w:abstractNumId w:val="4"/>
  </w:num>
  <w:num w:numId="46">
    <w:abstractNumId w:val="28"/>
  </w:num>
  <w:num w:numId="47">
    <w:abstractNumId w:val="25"/>
  </w:num>
  <w:num w:numId="48">
    <w:abstractNumId w:val="2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E"/>
    <w:rsid w:val="000047A0"/>
    <w:rsid w:val="00064802"/>
    <w:rsid w:val="000C5A8C"/>
    <w:rsid w:val="00161292"/>
    <w:rsid w:val="001D098E"/>
    <w:rsid w:val="001E1B37"/>
    <w:rsid w:val="001E3C9E"/>
    <w:rsid w:val="002A36D5"/>
    <w:rsid w:val="002B50EB"/>
    <w:rsid w:val="002B5827"/>
    <w:rsid w:val="002C2017"/>
    <w:rsid w:val="00336BBC"/>
    <w:rsid w:val="003C6571"/>
    <w:rsid w:val="003F736A"/>
    <w:rsid w:val="00416D93"/>
    <w:rsid w:val="004443F7"/>
    <w:rsid w:val="00471689"/>
    <w:rsid w:val="004C46C7"/>
    <w:rsid w:val="00581115"/>
    <w:rsid w:val="005B310A"/>
    <w:rsid w:val="005C1E45"/>
    <w:rsid w:val="005D45EE"/>
    <w:rsid w:val="005E0125"/>
    <w:rsid w:val="0060216F"/>
    <w:rsid w:val="006A5D50"/>
    <w:rsid w:val="006C532E"/>
    <w:rsid w:val="006C6939"/>
    <w:rsid w:val="007279C7"/>
    <w:rsid w:val="007E04C5"/>
    <w:rsid w:val="007E109C"/>
    <w:rsid w:val="007F5D2F"/>
    <w:rsid w:val="008D3DEC"/>
    <w:rsid w:val="0090184A"/>
    <w:rsid w:val="00931357"/>
    <w:rsid w:val="00974111"/>
    <w:rsid w:val="00A17CA0"/>
    <w:rsid w:val="00A368CA"/>
    <w:rsid w:val="00AC242E"/>
    <w:rsid w:val="00B10921"/>
    <w:rsid w:val="00B11F38"/>
    <w:rsid w:val="00B45C2E"/>
    <w:rsid w:val="00B743DF"/>
    <w:rsid w:val="00BF4894"/>
    <w:rsid w:val="00C264BA"/>
    <w:rsid w:val="00C66217"/>
    <w:rsid w:val="00D81D76"/>
    <w:rsid w:val="00D875DE"/>
    <w:rsid w:val="00E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4465"/>
  <w15:chartTrackingRefBased/>
  <w15:docId w15:val="{3A55B575-8374-4E42-B23A-98889AB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2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2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C24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4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E"/>
  </w:style>
  <w:style w:type="paragraph" w:styleId="Footer">
    <w:name w:val="footer"/>
    <w:basedOn w:val="Normal"/>
    <w:link w:val="Foot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E"/>
  </w:style>
  <w:style w:type="character" w:styleId="FollowedHyperlink">
    <w:name w:val="FollowedHyperlink"/>
    <w:basedOn w:val="DefaultParagraphFont"/>
    <w:uiPriority w:val="99"/>
    <w:semiHidden/>
    <w:unhideWhenUsed/>
    <w:rsid w:val="002B5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8&amp;elaborations=true&amp;cd=ACMNA158&amp;searchTerm=ACMNA158" TargetMode="External"/><Relationship Id="rId13" Type="http://schemas.openxmlformats.org/officeDocument/2006/relationships/hyperlink" Target="https://www.australiancurriculum.edu.au/f-10-curriculum/general-capabiliti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8&amp;elaborations=true&amp;cd=ACMNA157&amp;searchTerm=ACMNA157" TargetMode="External"/><Relationship Id="rId12" Type="http://schemas.openxmlformats.org/officeDocument/2006/relationships/hyperlink" Target="https://educationstandards.nsw.edu.au/wps/portal/nesa/k-10/learning-areas/mathematics/mathematics-k-10/outcomes" TargetMode="External"/><Relationship Id="rId17" Type="http://schemas.openxmlformats.org/officeDocument/2006/relationships/hyperlink" Target="https://www.australiancurriculum.edu.au/f-10-curriculum/cross-curriculum-priorities/sustainabil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f-10-curriculum/general-capabiliti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9&amp;elaborations=true&amp;cd=ACMNA188&amp;searchTerm=ACMNA1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f-10-curriculum/general-capabilities/" TargetMode="External"/><Relationship Id="rId10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9&amp;elaborations=true&amp;cd=ACMNA187&amp;searchTerm=ACMNA1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8&amp;elaborations=true&amp;cd=ACMNA173&amp;searchTerm=ACMNA173" TargetMode="External"/><Relationship Id="rId14" Type="http://schemas.openxmlformats.org/officeDocument/2006/relationships/hyperlink" Target="https://www.australiancurriculum.edu.au/f-10-curriculum/general-cap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2019-10-09T05:27:00Z</dcterms:created>
  <dcterms:modified xsi:type="dcterms:W3CDTF">2019-10-10T00:46:00Z</dcterms:modified>
</cp:coreProperties>
</file>